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DA651" w14:textId="77C7EF7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0A4EF4" w:rsidRPr="000A4EF4">
        <w:rPr>
          <w:rFonts w:ascii="Arial" w:eastAsia="SimSun" w:hAnsi="Arial" w:cs="Times New Roman"/>
          <w:b/>
          <w:bCs/>
          <w:sz w:val="24"/>
          <w:szCs w:val="20"/>
          <w:lang w:eastAsia="ja-JP"/>
        </w:rPr>
        <w:t>R4-2504449</w:t>
      </w:r>
    </w:p>
    <w:bookmarkEnd w:id="0"/>
    <w:bookmarkEnd w:id="1"/>
    <w:p w14:paraId="1D5229B3"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74167B4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858A4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715792A" w14:textId="23E03B9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22391">
        <w:rPr>
          <w:rFonts w:ascii="Arial" w:eastAsia="Calibri" w:hAnsi="Arial" w:cs="Arial"/>
          <w:b/>
          <w:bCs/>
          <w:sz w:val="24"/>
        </w:rPr>
        <w:t>Discussing on the adoption of VSAT Requirements for FR1-NTN</w:t>
      </w:r>
    </w:p>
    <w:p w14:paraId="7DD617C5" w14:textId="6D7AC29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22391">
        <w:rPr>
          <w:rFonts w:ascii="Arial" w:eastAsia="MS Mincho" w:hAnsi="Arial" w:cs="Arial"/>
          <w:b/>
          <w:bCs/>
          <w:sz w:val="24"/>
          <w:szCs w:val="20"/>
        </w:rPr>
        <w:t>7.11.6</w:t>
      </w:r>
    </w:p>
    <w:p w14:paraId="195AE6C4"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F53ACF7" w14:textId="77777777" w:rsidR="00E323E9" w:rsidRPr="008F786B" w:rsidRDefault="00E323E9" w:rsidP="00841BCD">
      <w:pPr>
        <w:tabs>
          <w:tab w:val="left" w:pos="1985"/>
        </w:tabs>
        <w:rPr>
          <w:rFonts w:ascii="Arial" w:eastAsia="Calibri" w:hAnsi="Arial" w:cs="Arial"/>
          <w:b/>
          <w:bCs/>
          <w:sz w:val="24"/>
        </w:rPr>
      </w:pPr>
    </w:p>
    <w:p w14:paraId="581F6FAC" w14:textId="77777777" w:rsidR="00841BCD" w:rsidRPr="00CA7877" w:rsidRDefault="00841BCD" w:rsidP="00A37002">
      <w:pPr>
        <w:pStyle w:val="RAN4H1"/>
      </w:pPr>
      <w:bookmarkStart w:id="3" w:name="_Toc116995841"/>
      <w:r w:rsidRPr="00CA7877">
        <w:t>Intro</w:t>
      </w:r>
      <w:r w:rsidRPr="00CA7877">
        <w:rPr>
          <w:rStyle w:val="RAN4H1Char"/>
        </w:rPr>
        <w:t>ductio</w:t>
      </w:r>
      <w:r w:rsidRPr="00CA7877">
        <w:t>n</w:t>
      </w:r>
      <w:bookmarkEnd w:id="3"/>
    </w:p>
    <w:p w14:paraId="63B33F1B" w14:textId="2B4758C5" w:rsidR="0060543D" w:rsidRPr="00CA7877" w:rsidRDefault="007E4668" w:rsidP="005C23A4">
      <w:r w:rsidRPr="00CA7877">
        <w:t xml:space="preserve">In the last RAN4 meeting, </w:t>
      </w:r>
      <w:r w:rsidR="00322391" w:rsidRPr="00CA7877">
        <w:t xml:space="preserve">the discussions for the implementation of RRM requirements related to Ku Band have started. The initial discussions, open issues and agreement were captured under the WF </w:t>
      </w:r>
      <w:r w:rsidR="00322391" w:rsidRPr="00CA7877">
        <w:fldChar w:fldCharType="begin"/>
      </w:r>
      <w:r w:rsidR="00322391" w:rsidRPr="00CA7877">
        <w:instrText xml:space="preserve"> REF _Ref194052563 \r \h </w:instrText>
      </w:r>
      <w:r w:rsidR="00CA7877">
        <w:instrText xml:space="preserve"> \* MERGEFORMAT </w:instrText>
      </w:r>
      <w:r w:rsidR="00322391" w:rsidRPr="00CA7877">
        <w:fldChar w:fldCharType="separate"/>
      </w:r>
      <w:r w:rsidR="00322391" w:rsidRPr="00CA7877">
        <w:t>[1]</w:t>
      </w:r>
      <w:r w:rsidR="00322391" w:rsidRPr="00CA7877">
        <w:fldChar w:fldCharType="end"/>
      </w:r>
      <w:r w:rsidR="00322391" w:rsidRPr="00CA7877">
        <w:t xml:space="preserve">. Most of the problems described therein are related to the RRM requirements that need to be defined/updated for VSAT type UEs and how to create requirements for FR1-NTN for VSAT Type UES. </w:t>
      </w:r>
    </w:p>
    <w:p w14:paraId="6E88E8A4" w14:textId="77777777" w:rsidR="00B66B7D" w:rsidRPr="00CA7877" w:rsidRDefault="003B659E" w:rsidP="00B66B7D">
      <w:pPr>
        <w:pStyle w:val="RAN4H1"/>
      </w:pPr>
      <w:bookmarkStart w:id="4" w:name="_Toc116995842"/>
      <w:r w:rsidRPr="00CA7877">
        <w:t>Discussion</w:t>
      </w:r>
      <w:bookmarkEnd w:id="4"/>
    </w:p>
    <w:p w14:paraId="6024A3CC" w14:textId="670AFBAD" w:rsidR="00322391" w:rsidRPr="00CA7877" w:rsidRDefault="00322391" w:rsidP="00B66B7D">
      <w:r w:rsidRPr="00CA7877">
        <w:t>One important issue presented in the WF regards the adoption of VSAT requirements for FR1-NTN</w:t>
      </w:r>
    </w:p>
    <w:tbl>
      <w:tblPr>
        <w:tblStyle w:val="TableGrid"/>
        <w:tblW w:w="0" w:type="auto"/>
        <w:tblLook w:val="04A0" w:firstRow="1" w:lastRow="0" w:firstColumn="1" w:lastColumn="0" w:noHBand="0" w:noVBand="1"/>
      </w:tblPr>
      <w:tblGrid>
        <w:gridCol w:w="9617"/>
      </w:tblGrid>
      <w:tr w:rsidR="00322391" w:rsidRPr="00CA7877" w14:paraId="15CE8BD5" w14:textId="77777777" w:rsidTr="00322391">
        <w:tc>
          <w:tcPr>
            <w:tcW w:w="9617" w:type="dxa"/>
          </w:tcPr>
          <w:p w14:paraId="77F5ED26" w14:textId="77777777" w:rsidR="002742A5" w:rsidRPr="002742A5" w:rsidRDefault="002742A5" w:rsidP="002742A5">
            <w:pPr>
              <w:rPr>
                <w:b/>
                <w:u w:val="single"/>
              </w:rPr>
            </w:pPr>
            <w:r w:rsidRPr="002742A5">
              <w:rPr>
                <w:b/>
                <w:u w:val="single"/>
              </w:rPr>
              <w:t>Issue 1-4: terminology related issue</w:t>
            </w:r>
          </w:p>
          <w:p w14:paraId="3097B4AE" w14:textId="77777777" w:rsidR="002742A5" w:rsidRPr="002742A5" w:rsidRDefault="002742A5" w:rsidP="002742A5">
            <w:pPr>
              <w:rPr>
                <w:u w:val="single"/>
              </w:rPr>
            </w:pPr>
            <w:r w:rsidRPr="002742A5">
              <w:rPr>
                <w:u w:val="single"/>
              </w:rPr>
              <w:t>Proposals:</w:t>
            </w:r>
          </w:p>
          <w:p w14:paraId="46FB4403" w14:textId="77777777" w:rsidR="002742A5" w:rsidRPr="002742A5" w:rsidRDefault="002742A5" w:rsidP="002742A5">
            <w:pPr>
              <w:numPr>
                <w:ilvl w:val="0"/>
                <w:numId w:val="29"/>
              </w:numPr>
            </w:pPr>
            <w:r w:rsidRPr="002742A5">
              <w:t xml:space="preserve">Option 1: An overarching task in RAN4 is to determine how terminology currently used in TS 38.133 can be aligned to, clearly and unambiguously, identify Ku bands defined for FR1-NTN and Ku bands defined for FR2-NTN. </w:t>
            </w:r>
            <w:r w:rsidRPr="002742A5">
              <w:rPr>
                <w:bCs/>
              </w:rPr>
              <w:t>(Eutelsat Group)</w:t>
            </w:r>
          </w:p>
          <w:p w14:paraId="306D07E6" w14:textId="77777777" w:rsidR="002742A5" w:rsidRPr="002742A5" w:rsidRDefault="002742A5" w:rsidP="002742A5">
            <w:pPr>
              <w:rPr>
                <w:u w:val="single"/>
              </w:rPr>
            </w:pPr>
            <w:r w:rsidRPr="002742A5">
              <w:rPr>
                <w:u w:val="single"/>
              </w:rPr>
              <w:t>Recommended WF:</w:t>
            </w:r>
          </w:p>
          <w:p w14:paraId="61D4D01B" w14:textId="77777777" w:rsidR="002742A5" w:rsidRPr="002742A5" w:rsidRDefault="002742A5" w:rsidP="002742A5">
            <w:pPr>
              <w:numPr>
                <w:ilvl w:val="0"/>
                <w:numId w:val="29"/>
              </w:numPr>
            </w:pPr>
            <w:r w:rsidRPr="002742A5">
              <w:t>Continue discussion.</w:t>
            </w:r>
          </w:p>
          <w:p w14:paraId="11CA37E2" w14:textId="77777777" w:rsidR="00322391" w:rsidRPr="00CA7877" w:rsidRDefault="00322391" w:rsidP="00B66B7D"/>
        </w:tc>
      </w:tr>
    </w:tbl>
    <w:p w14:paraId="056EE5FF" w14:textId="77777777" w:rsidR="00322391" w:rsidRPr="00CA7877" w:rsidRDefault="00322391" w:rsidP="00B66B7D"/>
    <w:p w14:paraId="24B9F683" w14:textId="363C37C5" w:rsidR="002742A5" w:rsidRPr="00CA7877" w:rsidRDefault="002742A5" w:rsidP="00B66B7D">
      <w:r w:rsidRPr="00CA7877">
        <w:t>From our point of view, there is a systematic problem that needs addressing</w:t>
      </w:r>
      <w:r w:rsidR="000A7E1A" w:rsidRPr="00CA7877">
        <w:t>. The specs in TS 38.133 were created under the assumption that VSAT UES would operate only in FR1-NTN. Therefore, some of the VSAT Requirements do not explicitly mention the UE type, they are generally described only as “FR2-NTN” requirements/applicability rules.  Likewise, most of the FR1-NTN requirements do not mention the UE type as well</w:t>
      </w:r>
      <w:r w:rsidR="000C67F5" w:rsidRPr="00CA7877">
        <w:t>. To illustrate this, one can refer to the initial description of clause 7.1C.2</w:t>
      </w:r>
    </w:p>
    <w:tbl>
      <w:tblPr>
        <w:tblStyle w:val="TableGrid"/>
        <w:tblW w:w="0" w:type="auto"/>
        <w:tblLook w:val="04A0" w:firstRow="1" w:lastRow="0" w:firstColumn="1" w:lastColumn="0" w:noHBand="0" w:noVBand="1"/>
      </w:tblPr>
      <w:tblGrid>
        <w:gridCol w:w="9617"/>
      </w:tblGrid>
      <w:tr w:rsidR="000C67F5" w:rsidRPr="00CA7877" w14:paraId="66DFF53F" w14:textId="77777777" w:rsidTr="000C67F5">
        <w:tc>
          <w:tcPr>
            <w:tcW w:w="9617" w:type="dxa"/>
          </w:tcPr>
          <w:p w14:paraId="1B21AF1F" w14:textId="77777777" w:rsidR="006E398E" w:rsidRPr="006E398E" w:rsidRDefault="006E398E" w:rsidP="006E398E">
            <w:pPr>
              <w:rPr>
                <w:b/>
                <w:bCs/>
                <w:u w:val="single"/>
              </w:rPr>
            </w:pPr>
            <w:r w:rsidRPr="006E398E">
              <w:rPr>
                <w:b/>
                <w:bCs/>
                <w:u w:val="single"/>
              </w:rPr>
              <w:t>7.1C.2</w:t>
            </w:r>
            <w:r w:rsidRPr="006E398E">
              <w:rPr>
                <w:b/>
                <w:bCs/>
                <w:u w:val="single"/>
              </w:rPr>
              <w:tab/>
              <w:t>Requirements</w:t>
            </w:r>
          </w:p>
          <w:p w14:paraId="7647EFDB" w14:textId="77777777" w:rsidR="006E398E" w:rsidRPr="006E398E" w:rsidRDefault="006E398E" w:rsidP="006E398E">
            <w:r w:rsidRPr="006E398E">
              <w:t xml:space="preserve">The UE initial transmission timing error shall be less than or equal to </w:t>
            </w:r>
            <w:r w:rsidRPr="006E398E">
              <w:sym w:font="Symbol" w:char="F0B1"/>
            </w:r>
            <w:proofErr w:type="spellStart"/>
            <w:r w:rsidRPr="006E398E">
              <w:t>T</w:t>
            </w:r>
            <w:r w:rsidRPr="006E398E">
              <w:rPr>
                <w:vertAlign w:val="subscript"/>
              </w:rPr>
              <w:t>e_NTN</w:t>
            </w:r>
            <w:proofErr w:type="spellEnd"/>
            <w:r w:rsidRPr="006E398E">
              <w:t xml:space="preserve"> where the timing error limit value </w:t>
            </w:r>
            <w:proofErr w:type="spellStart"/>
            <w:r w:rsidRPr="006E398E">
              <w:t>T</w:t>
            </w:r>
            <w:r w:rsidRPr="006E398E">
              <w:rPr>
                <w:vertAlign w:val="subscript"/>
              </w:rPr>
              <w:t>e_NTN</w:t>
            </w:r>
            <w:proofErr w:type="spellEnd"/>
            <w:r w:rsidRPr="006E398E">
              <w:t xml:space="preserve">: </w:t>
            </w:r>
          </w:p>
          <w:p w14:paraId="40C99C38" w14:textId="77777777" w:rsidR="006E398E" w:rsidRPr="006E398E" w:rsidRDefault="006E398E" w:rsidP="006E398E">
            <w:pPr>
              <w:rPr>
                <w:lang w:val="en-US"/>
              </w:rPr>
            </w:pPr>
            <w:r w:rsidRPr="006E398E">
              <w:rPr>
                <w:lang w:val="en-US"/>
              </w:rPr>
              <w:t>-</w:t>
            </w:r>
            <w:r w:rsidRPr="006E398E">
              <w:rPr>
                <w:lang w:val="en-US"/>
              </w:rPr>
              <w:tab/>
              <w:t>is specified in table 7.1C.2-1 for FR1-NTN.</w:t>
            </w:r>
          </w:p>
          <w:p w14:paraId="117AED55" w14:textId="77777777" w:rsidR="006E398E" w:rsidRPr="006E398E" w:rsidRDefault="006E398E" w:rsidP="006E398E">
            <w:pPr>
              <w:rPr>
                <w:lang w:val="en-US"/>
              </w:rPr>
            </w:pPr>
            <w:r w:rsidRPr="006E398E">
              <w:rPr>
                <w:lang w:val="en-US"/>
              </w:rPr>
              <w:t>-</w:t>
            </w:r>
            <w:r w:rsidRPr="006E398E">
              <w:rPr>
                <w:lang w:val="en-US"/>
              </w:rPr>
              <w:tab/>
              <w:t>is specified in table 7.1C.2-2 and table 7.1C.2-3 for VSAT UE in FR2-NTN.</w:t>
            </w:r>
          </w:p>
          <w:p w14:paraId="6AEED14A" w14:textId="0F53C10C" w:rsidR="000C67F5" w:rsidRPr="00CA7877" w:rsidRDefault="000C67F5" w:rsidP="00B66B7D">
            <w:pPr>
              <w:rPr>
                <w:lang w:val="en-US"/>
              </w:rPr>
            </w:pPr>
          </w:p>
        </w:tc>
      </w:tr>
    </w:tbl>
    <w:p w14:paraId="532A3FBC" w14:textId="77777777" w:rsidR="000C67F5" w:rsidRPr="00CA7877" w:rsidRDefault="000C67F5" w:rsidP="00B66B7D"/>
    <w:p w14:paraId="47AE1C1C" w14:textId="59592B41" w:rsidR="006E398E" w:rsidRPr="00CA7877" w:rsidRDefault="006E398E" w:rsidP="00B66B7D">
      <w:r w:rsidRPr="00CA7877">
        <w:t>The most straightforward solution, from our point of view is to revisit the requirements one by one, and explicitly mention which requirements are applicable to VSAT UEs in FR1-NTN.</w:t>
      </w:r>
    </w:p>
    <w:p w14:paraId="5E08CB9A" w14:textId="3F4F8522" w:rsidR="006E398E" w:rsidRPr="00CA7877" w:rsidRDefault="006E398E" w:rsidP="006E398E">
      <w:pPr>
        <w:pStyle w:val="RAN4proposal"/>
      </w:pPr>
      <w:bookmarkStart w:id="5" w:name="_Toc194070599"/>
      <w:r w:rsidRPr="00CA7877">
        <w:t>In TS 38.133, RAN4 to revisit all FR1-NTN requirements and mention explicitly which tables are also applicable for “VSAT UEs in FR1-NTN”.</w:t>
      </w:r>
      <w:bookmarkEnd w:id="5"/>
      <w:r w:rsidRPr="00CA7877">
        <w:t xml:space="preserve"> </w:t>
      </w:r>
    </w:p>
    <w:p w14:paraId="3FFD4249" w14:textId="77777777" w:rsidR="006E398E" w:rsidRPr="00CA7877" w:rsidRDefault="006E398E" w:rsidP="006E398E"/>
    <w:p w14:paraId="7CA94498" w14:textId="3C4B678D" w:rsidR="00307EE8" w:rsidRPr="00CA7877" w:rsidRDefault="00A93B2A" w:rsidP="005C7EFA">
      <w:pPr>
        <w:pStyle w:val="RAN4H2"/>
      </w:pPr>
      <w:r w:rsidRPr="00CA7877">
        <w:lastRenderedPageBreak/>
        <w:t>Mobility Requirements</w:t>
      </w:r>
    </w:p>
    <w:p w14:paraId="2138B888" w14:textId="28B9142B" w:rsidR="00931FB6" w:rsidRPr="00CA7877" w:rsidRDefault="00A93B2A" w:rsidP="00A93B2A">
      <w:r w:rsidRPr="00CA7877">
        <w:t xml:space="preserve">In last meeting, when discussing the transmit timing issues, RAN4 has agreed to reuse FR1-NTN requirements for VSAT UEs </w:t>
      </w:r>
      <w:proofErr w:type="spellStart"/>
      <w:r w:rsidRPr="00CA7877">
        <w:t>operatin</w:t>
      </w:r>
      <w:proofErr w:type="spellEnd"/>
      <w:r w:rsidRPr="00CA7877">
        <w:t xml:space="preserve"> in FR1-NTN and FR2-NTN requirements for VSAT UEs in Ku Band using FR2-NTN. </w:t>
      </w:r>
      <w:proofErr w:type="gramStart"/>
      <w:r w:rsidR="00931FB6" w:rsidRPr="00CA7877">
        <w:t>However</w:t>
      </w:r>
      <w:proofErr w:type="gramEnd"/>
      <w:r w:rsidR="00931FB6" w:rsidRPr="00CA7877">
        <w:t xml:space="preserve"> for mobility requirements, this is not possible, as VSAT Type UEs have directional beams that require steering (either mechanical or electronically) when locking into a satellite or measuring a </w:t>
      </w:r>
      <w:proofErr w:type="spellStart"/>
      <w:r w:rsidR="00931FB6" w:rsidRPr="00CA7877">
        <w:t>neighbor</w:t>
      </w:r>
      <w:proofErr w:type="spellEnd"/>
      <w:r w:rsidR="00931FB6" w:rsidRPr="00CA7877">
        <w:t xml:space="preserve"> satellite. </w:t>
      </w:r>
      <w:r w:rsidR="001060E8" w:rsidRPr="00CA7877">
        <w:t>Therefore, the mobility requirements for a VSAT UE operating in FR1-NTN shall use as baseline VSAT specifications.</w:t>
      </w:r>
    </w:p>
    <w:p w14:paraId="0A1EE8A9" w14:textId="6C28B6EE" w:rsidR="001060E8" w:rsidRPr="00CA7877" w:rsidRDefault="001060E8" w:rsidP="001060E8">
      <w:pPr>
        <w:pStyle w:val="RAN4observation0"/>
      </w:pPr>
      <w:bookmarkStart w:id="6" w:name="_Toc194070600"/>
      <w:r w:rsidRPr="00CA7877">
        <w:t>The mobility requirements for VSAT UEs operating in FR1-NTN shall use the requirements from VSAT UEs in FR2-NTN as baseline.</w:t>
      </w:r>
      <w:bookmarkEnd w:id="6"/>
      <w:r w:rsidRPr="00CA7877">
        <w:t xml:space="preserve"> </w:t>
      </w:r>
    </w:p>
    <w:p w14:paraId="2B0F897F" w14:textId="77777777" w:rsidR="00931FB6" w:rsidRPr="00CA7877" w:rsidRDefault="00931FB6" w:rsidP="00931FB6">
      <w:pPr>
        <w:pStyle w:val="RAN4H2"/>
      </w:pPr>
      <w:r w:rsidRPr="00CA7877">
        <w:t>Cell Reselection Requirements</w:t>
      </w:r>
    </w:p>
    <w:p w14:paraId="5E3B7639" w14:textId="67C245D7" w:rsidR="00A93B2A" w:rsidRPr="00CA7877" w:rsidRDefault="00931FB6" w:rsidP="001060E8">
      <w:r w:rsidRPr="00CA7877">
        <w:t xml:space="preserve"> </w:t>
      </w:r>
      <w:r w:rsidR="001060E8" w:rsidRPr="00CA7877">
        <w:t>For cell reselection requirements, they are similar for FR1 and VSAT FR2-NTN</w:t>
      </w:r>
      <w:r w:rsidR="00A97CCB" w:rsidRPr="00CA7877">
        <w:t xml:space="preserve">, except that no inter-satellite measurements are enabled for VSAT Type of UEs. There is no fundamental reason that precludes VSAT UEs to perform inter-satellite measurements, however, this is a more complex scenario to be </w:t>
      </w:r>
      <w:proofErr w:type="spellStart"/>
      <w:r w:rsidR="00A97CCB" w:rsidRPr="00CA7877">
        <w:t>analyzed</w:t>
      </w:r>
      <w:proofErr w:type="spellEnd"/>
      <w:r w:rsidR="00A97CCB" w:rsidRPr="00CA7877">
        <w:t>. During Rel-18 WI, when the VSAT requirements were first created for specifications</w:t>
      </w:r>
      <w:r w:rsidR="001E7369" w:rsidRPr="00CA7877">
        <w:t xml:space="preserve">, there was limited time for discussing all the potential scenarios to develop the RRM requirements, and RAN plenary took the decision to limit the scope of NTN applicability. </w:t>
      </w:r>
    </w:p>
    <w:p w14:paraId="0B362817" w14:textId="798652FA" w:rsidR="001E7369" w:rsidRPr="00CA7877" w:rsidRDefault="001E7369" w:rsidP="001060E8">
      <w:r w:rsidRPr="00CA7877">
        <w:t xml:space="preserve">We believe that, in this WI, </w:t>
      </w:r>
      <w:proofErr w:type="spellStart"/>
      <w:r w:rsidRPr="00CA7877">
        <w:t>specially</w:t>
      </w:r>
      <w:proofErr w:type="spellEnd"/>
      <w:r w:rsidRPr="00CA7877">
        <w:t xml:space="preserve"> with the introduction of scenarios where mobile VSAT UEs are connected to LEO, faster reaction times is paramount, and RAN4 has a new chance to create inter-satellite requirements. </w:t>
      </w:r>
    </w:p>
    <w:p w14:paraId="3B5588CA" w14:textId="4CB70C1B" w:rsidR="001E7369" w:rsidRPr="00CA7877" w:rsidRDefault="001E7369" w:rsidP="001E7369">
      <w:pPr>
        <w:pStyle w:val="RAN4proposal"/>
      </w:pPr>
      <w:bookmarkStart w:id="7" w:name="_Toc194070601"/>
      <w:r w:rsidRPr="00CA7877">
        <w:t>RAN4 to create inter-satellite cell reselection requirements for VSAT UEs in Rel-19</w:t>
      </w:r>
      <w:bookmarkEnd w:id="7"/>
    </w:p>
    <w:p w14:paraId="6437CE87" w14:textId="77777777" w:rsidR="00382F10" w:rsidRPr="00CA7877" w:rsidRDefault="00382F10" w:rsidP="00382F10">
      <w:r w:rsidRPr="00CA7877">
        <w:t xml:space="preserve">Throughout this contribution we will reuse the same principle described in clause 2.2, i.e., we will propose that inter-satellite mobility and measurements are added to VSAT Type UE. </w:t>
      </w:r>
    </w:p>
    <w:p w14:paraId="680A0A3E" w14:textId="77777777" w:rsidR="00382F10" w:rsidRPr="00CA7877" w:rsidRDefault="00382F10" w:rsidP="00382F10"/>
    <w:p w14:paraId="7C8CC21F" w14:textId="70777940" w:rsidR="00A93B2A" w:rsidRPr="00CA7877" w:rsidRDefault="001E7369" w:rsidP="001E7369">
      <w:pPr>
        <w:pStyle w:val="RAN4H2"/>
      </w:pPr>
      <w:r w:rsidRPr="00CA7877">
        <w:t>Handover requirements</w:t>
      </w:r>
    </w:p>
    <w:p w14:paraId="04B97D4C" w14:textId="06A6DEBF" w:rsidR="00307EE8" w:rsidRPr="00CA7877" w:rsidRDefault="00382F10" w:rsidP="00382F10">
      <w:r w:rsidRPr="00CA7877">
        <w:t xml:space="preserve">There are more mobility scenarios regarding FR1-NTN UEs than FR2-NTN UEs in TS 38.133. The reason for that is due to the lack of scope in previous WIs to introduce some features also for this frequency layer. For example, Inter-RAT mobility, NTN-TN mobility and satellite switching with resync. We believe that the same principle should apply to VSAT UEs </w:t>
      </w:r>
      <w:proofErr w:type="gramStart"/>
      <w:r w:rsidRPr="00CA7877">
        <w:t>regardless</w:t>
      </w:r>
      <w:proofErr w:type="gramEnd"/>
      <w:r w:rsidRPr="00CA7877">
        <w:t xml:space="preserve"> whether they are in FR1-NTN or FR2-NTN bands. </w:t>
      </w:r>
    </w:p>
    <w:p w14:paraId="125ADD8F" w14:textId="53FF7CCB" w:rsidR="00382F10" w:rsidRPr="00CA7877" w:rsidRDefault="00382F10" w:rsidP="00382F10">
      <w:pPr>
        <w:pStyle w:val="RAN4proposal"/>
      </w:pPr>
      <w:bookmarkStart w:id="8" w:name="_Toc194070602"/>
      <w:r w:rsidRPr="00CA7877">
        <w:t>VSAT UEs operating in FR1-NTN do not support TN-NTN mobility, inter-RAT mobility or satellite switching with re-sync</w:t>
      </w:r>
      <w:bookmarkEnd w:id="8"/>
    </w:p>
    <w:p w14:paraId="0000ADD8" w14:textId="11635D63" w:rsidR="00382F10" w:rsidRPr="00CA7877" w:rsidRDefault="00382F10" w:rsidP="00382F10">
      <w:r w:rsidRPr="00CA7877">
        <w:t xml:space="preserve">Another issue is to avoid overlapping between FR1 UEs and FR1-NTN UEs, </w:t>
      </w:r>
      <w:r w:rsidR="00115605" w:rsidRPr="00CA7877">
        <w:t xml:space="preserve">as they have very different </w:t>
      </w:r>
      <w:proofErr w:type="spellStart"/>
      <w:r w:rsidR="00115605" w:rsidRPr="00CA7877">
        <w:t>behavior</w:t>
      </w:r>
      <w:proofErr w:type="spellEnd"/>
      <w:r w:rsidR="00115605" w:rsidRPr="00CA7877">
        <w:t xml:space="preserve"> regarding HO procedures. Because of this, we suggest that new subclauses are added for VSAT UEs HO from FR1-NTN to FR1-NTN. These clauses might reference the FR2-NTN subclauses. </w:t>
      </w:r>
    </w:p>
    <w:p w14:paraId="7060C7E0" w14:textId="125D38F6" w:rsidR="00115605" w:rsidRPr="00CA7877" w:rsidRDefault="00115605" w:rsidP="00115605">
      <w:pPr>
        <w:pStyle w:val="RAN4proposal"/>
      </w:pPr>
      <w:bookmarkStart w:id="9" w:name="_Toc194070603"/>
      <w:r w:rsidRPr="00CA7877">
        <w:t>Create a new subclause for HO and a new subclause for CHO, for VSAT UEs performing HO from FR1-NTN to FR1-NTN. Baseline is FR2-NTN clause.</w:t>
      </w:r>
      <w:bookmarkEnd w:id="9"/>
      <w:r w:rsidRPr="00CA7877">
        <w:t xml:space="preserve"> </w:t>
      </w:r>
    </w:p>
    <w:p w14:paraId="5C767F62" w14:textId="74D0100A" w:rsidR="00115605" w:rsidRPr="00CA7877" w:rsidRDefault="00115605" w:rsidP="00115605">
      <w:pPr>
        <w:pStyle w:val="RAN4H2"/>
      </w:pPr>
      <w:r w:rsidRPr="00CA7877">
        <w:t>Radio Link monitoring</w:t>
      </w:r>
    </w:p>
    <w:p w14:paraId="557E0445" w14:textId="4B9EFE25" w:rsidR="00115605" w:rsidRPr="00CA7877" w:rsidRDefault="00115605" w:rsidP="00115605">
      <w:r w:rsidRPr="00CA7877">
        <w:t xml:space="preserve">In Table 8.1C.1-2, the number of RLM-RS resources to be measured is established. The number </w:t>
      </w:r>
      <w:proofErr w:type="spellStart"/>
      <w:r w:rsidRPr="00CA7877">
        <w:t>Lmax</w:t>
      </w:r>
      <w:proofErr w:type="spellEnd"/>
      <w:r w:rsidRPr="00CA7877">
        <w:t xml:space="preserve"> depends on the PHY configuration of the </w:t>
      </w:r>
      <w:proofErr w:type="gramStart"/>
      <w:r w:rsidRPr="00CA7877">
        <w:t>band, and</w:t>
      </w:r>
      <w:proofErr w:type="gramEnd"/>
      <w:r w:rsidRPr="00CA7877">
        <w:t xml:space="preserve"> is a hardcoded parameter that depends on RAN1 specifications. Currently, RAN1 has replied to RAN4 inquiries that they seem no problems in having a band that operates both as FR1-NTN and FR2-NTN. However, FR1-NTN bands have two potential values for </w:t>
      </w:r>
      <w:proofErr w:type="spellStart"/>
      <w:r w:rsidRPr="00CA7877">
        <w:t>Lmax</w:t>
      </w:r>
      <w:proofErr w:type="spellEnd"/>
      <w:r w:rsidRPr="00CA7877">
        <w:t xml:space="preserve"> (4 and 8</w:t>
      </w:r>
      <w:proofErr w:type="gramStart"/>
      <w:r w:rsidRPr="00CA7877">
        <w:t>)</w:t>
      </w:r>
      <w:proofErr w:type="gramEnd"/>
      <w:r w:rsidRPr="00CA7877">
        <w:t xml:space="preserve"> and they depend on the frequency Range adopted. For frequencies above 3GHz, </w:t>
      </w:r>
      <w:proofErr w:type="spellStart"/>
      <w:r w:rsidRPr="00CA7877">
        <w:t>Lmax</w:t>
      </w:r>
      <w:proofErr w:type="spellEnd"/>
      <w:r w:rsidRPr="00CA7877">
        <w:t xml:space="preserve"> is equal to 8. </w:t>
      </w:r>
    </w:p>
    <w:p w14:paraId="70E026A7" w14:textId="596CD49C" w:rsidR="00115605" w:rsidRPr="00CA7877" w:rsidRDefault="00115605" w:rsidP="00115605">
      <w:pPr>
        <w:pStyle w:val="RAN4proposal"/>
      </w:pPr>
      <w:bookmarkStart w:id="10" w:name="_Toc194070604"/>
      <w:r w:rsidRPr="00CA7877">
        <w:t xml:space="preserve">Confirm the assumption that </w:t>
      </w:r>
      <w:proofErr w:type="spellStart"/>
      <w:r w:rsidRPr="00CA7877">
        <w:t>LMax</w:t>
      </w:r>
      <w:proofErr w:type="spellEnd"/>
      <w:r w:rsidRPr="00CA7877">
        <w:t xml:space="preserve"> is equal to 8 for FR1-NTN.</w:t>
      </w:r>
      <w:bookmarkEnd w:id="10"/>
    </w:p>
    <w:p w14:paraId="71D81A6A" w14:textId="77777777" w:rsidR="00115605" w:rsidRPr="00CA7877" w:rsidRDefault="00115605" w:rsidP="00115605"/>
    <w:tbl>
      <w:tblPr>
        <w:tblStyle w:val="TableGrid"/>
        <w:tblW w:w="0" w:type="auto"/>
        <w:tblLook w:val="04A0" w:firstRow="1" w:lastRow="0" w:firstColumn="1" w:lastColumn="0" w:noHBand="0" w:noVBand="1"/>
      </w:tblPr>
      <w:tblGrid>
        <w:gridCol w:w="9617"/>
      </w:tblGrid>
      <w:tr w:rsidR="00115605" w:rsidRPr="00CA7877" w14:paraId="29649BA6" w14:textId="77777777" w:rsidTr="00115605">
        <w:tc>
          <w:tcPr>
            <w:tcW w:w="9617" w:type="dxa"/>
          </w:tcPr>
          <w:p w14:paraId="3A4C99E3" w14:textId="77777777" w:rsidR="00115605" w:rsidRPr="00115605" w:rsidRDefault="00115605" w:rsidP="00115605">
            <w:pPr>
              <w:keepNext/>
              <w:keepLines/>
              <w:overflowPunct w:val="0"/>
              <w:autoSpaceDE w:val="0"/>
              <w:autoSpaceDN w:val="0"/>
              <w:adjustRightInd w:val="0"/>
              <w:spacing w:before="60" w:after="180"/>
              <w:jc w:val="center"/>
              <w:rPr>
                <w:rFonts w:ascii="Arial" w:eastAsia="Times New Roman" w:hAnsi="Arial" w:cs="Arial"/>
                <w:b/>
                <w:sz w:val="22"/>
              </w:rPr>
            </w:pPr>
            <w:r w:rsidRPr="00115605">
              <w:rPr>
                <w:rFonts w:ascii="Arial" w:eastAsia="Times New Roman" w:hAnsi="Arial" w:cs="Arial"/>
                <w:b/>
                <w:sz w:val="22"/>
                <w:lang w:val="en-US"/>
              </w:rPr>
              <w:lastRenderedPageBreak/>
              <w:t xml:space="preserve">Table 8.1C.1-2: Maximum number of RLM-RS resources </w:t>
            </w:r>
            <w:r w:rsidRPr="00115605">
              <w:rPr>
                <w:rFonts w:ascii="Arial" w:eastAsia="Times New Roman" w:hAnsi="Arial" w:cs="Arial"/>
                <w:b/>
                <w:sz w:val="22"/>
                <w:lang w:val="en-US" w:eastAsia="zh-CN"/>
              </w:rPr>
              <w:t>N</w:t>
            </w:r>
            <w:r w:rsidRPr="00115605">
              <w:rPr>
                <w:rFonts w:ascii="Arial" w:eastAsia="Times New Roman" w:hAnsi="Arial" w:cs="Arial"/>
                <w:b/>
                <w:sz w:val="22"/>
                <w:vertAlign w:val="subscript"/>
                <w:lang w:val="en-US"/>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115605" w:rsidRPr="00115605" w14:paraId="1BAAFF8E" w14:textId="77777777" w:rsidTr="00115605">
              <w:trPr>
                <w:jc w:val="center"/>
              </w:trPr>
              <w:tc>
                <w:tcPr>
                  <w:tcW w:w="3055" w:type="dxa"/>
                  <w:tcBorders>
                    <w:top w:val="single" w:sz="4" w:space="0" w:color="auto"/>
                    <w:left w:val="single" w:sz="4" w:space="0" w:color="auto"/>
                    <w:bottom w:val="single" w:sz="4" w:space="0" w:color="auto"/>
                    <w:right w:val="single" w:sz="4" w:space="0" w:color="auto"/>
                  </w:tcBorders>
                  <w:hideMark/>
                </w:tcPr>
                <w:p w14:paraId="27B86EA9"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b/>
                      <w:sz w:val="18"/>
                      <w:szCs w:val="20"/>
                    </w:rPr>
                  </w:pPr>
                  <w:r w:rsidRPr="00115605">
                    <w:rPr>
                      <w:rFonts w:ascii="Arial" w:eastAsia="Times New Roman" w:hAnsi="Arial" w:cs="Times New Roman"/>
                      <w:b/>
                      <w:sz w:val="18"/>
                      <w:szCs w:val="20"/>
                    </w:rPr>
                    <w:t xml:space="preserve">Carrier frequency range of </w:t>
                  </w:r>
                  <w:proofErr w:type="spellStart"/>
                  <w:r w:rsidRPr="00115605">
                    <w:rPr>
                      <w:rFonts w:ascii="Arial" w:eastAsia="Times New Roman" w:hAnsi="Arial" w:cs="Times New Roman"/>
                      <w:b/>
                      <w:sz w:val="18"/>
                      <w:szCs w:val="20"/>
                    </w:rPr>
                    <w:t>PCell</w:t>
                  </w:r>
                  <w:proofErr w:type="spellEnd"/>
                  <w:r w:rsidRPr="00115605">
                    <w:rPr>
                      <w:rFonts w:ascii="Arial" w:eastAsia="Times New Roman" w:hAnsi="Arial" w:cs="Times New Roman"/>
                      <w:b/>
                      <w:sz w:val="18"/>
                      <w:szCs w:val="20"/>
                    </w:rPr>
                    <w:t xml:space="preserve"> </w:t>
                  </w:r>
                </w:p>
              </w:tc>
              <w:tc>
                <w:tcPr>
                  <w:tcW w:w="3264" w:type="dxa"/>
                  <w:tcBorders>
                    <w:top w:val="single" w:sz="4" w:space="0" w:color="auto"/>
                    <w:left w:val="single" w:sz="4" w:space="0" w:color="auto"/>
                    <w:bottom w:val="single" w:sz="4" w:space="0" w:color="auto"/>
                    <w:right w:val="single" w:sz="4" w:space="0" w:color="auto"/>
                  </w:tcBorders>
                  <w:hideMark/>
                </w:tcPr>
                <w:p w14:paraId="697A1106"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b/>
                      <w:sz w:val="18"/>
                      <w:szCs w:val="20"/>
                    </w:rPr>
                  </w:pPr>
                  <w:proofErr w:type="spellStart"/>
                  <w:r w:rsidRPr="00115605">
                    <w:rPr>
                      <w:rFonts w:ascii="Arial" w:eastAsia="Times New Roman" w:hAnsi="Arial" w:cs="Arial"/>
                      <w:sz w:val="18"/>
                      <w:szCs w:val="18"/>
                      <w:lang w:eastAsia="en-GB"/>
                    </w:rPr>
                    <w:t>L</w:t>
                  </w:r>
                  <w:r w:rsidRPr="00115605">
                    <w:rPr>
                      <w:rFonts w:ascii="Arial" w:eastAsia="Times New Roman" w:hAnsi="Arial" w:cs="Arial"/>
                      <w:sz w:val="18"/>
                      <w:szCs w:val="18"/>
                      <w:vertAlign w:val="subscript"/>
                      <w:lang w:eastAsia="en-GB"/>
                    </w:rPr>
                    <w:t>max</w:t>
                  </w:r>
                  <w:proofErr w:type="spellEnd"/>
                </w:p>
              </w:tc>
              <w:tc>
                <w:tcPr>
                  <w:tcW w:w="3536" w:type="dxa"/>
                  <w:tcBorders>
                    <w:top w:val="single" w:sz="4" w:space="0" w:color="auto"/>
                    <w:left w:val="single" w:sz="4" w:space="0" w:color="auto"/>
                    <w:bottom w:val="single" w:sz="4" w:space="0" w:color="auto"/>
                    <w:right w:val="single" w:sz="4" w:space="0" w:color="auto"/>
                  </w:tcBorders>
                  <w:hideMark/>
                </w:tcPr>
                <w:p w14:paraId="0AEC05E6"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b/>
                      <w:sz w:val="18"/>
                      <w:szCs w:val="20"/>
                    </w:rPr>
                  </w:pPr>
                  <w:r w:rsidRPr="00115605">
                    <w:rPr>
                      <w:rFonts w:ascii="Arial" w:eastAsia="Times New Roman" w:hAnsi="Arial" w:cs="Times New Roman"/>
                      <w:b/>
                      <w:sz w:val="18"/>
                      <w:szCs w:val="20"/>
                      <w:lang w:eastAsia="en-GB"/>
                    </w:rPr>
                    <w:t xml:space="preserve">Maximum number of RLM-RS resources, </w:t>
                  </w:r>
                  <w:r w:rsidRPr="00115605">
                    <w:rPr>
                      <w:rFonts w:ascii="Arial" w:eastAsia="Times New Roman" w:hAnsi="Arial" w:cs="Times New Roman"/>
                      <w:b/>
                      <w:sz w:val="18"/>
                      <w:szCs w:val="20"/>
                      <w:lang w:eastAsia="zh-CN"/>
                    </w:rPr>
                    <w:t>N</w:t>
                  </w:r>
                  <w:r w:rsidRPr="00115605">
                    <w:rPr>
                      <w:rFonts w:ascii="Arial" w:eastAsia="Times New Roman" w:hAnsi="Arial" w:cs="Times New Roman"/>
                      <w:b/>
                      <w:sz w:val="18"/>
                      <w:szCs w:val="20"/>
                      <w:vertAlign w:val="subscript"/>
                      <w:lang w:eastAsia="en-GB"/>
                    </w:rPr>
                    <w:t>RLM</w:t>
                  </w:r>
                  <w:r w:rsidRPr="00115605">
                    <w:rPr>
                      <w:rFonts w:ascii="Arial" w:eastAsia="Times New Roman" w:hAnsi="Arial" w:cs="Times New Roman"/>
                      <w:b/>
                      <w:sz w:val="18"/>
                      <w:szCs w:val="20"/>
                      <w:lang w:eastAsia="en-GB"/>
                    </w:rPr>
                    <w:t xml:space="preserve"> </w:t>
                  </w:r>
                </w:p>
              </w:tc>
            </w:tr>
            <w:tr w:rsidR="00115605" w:rsidRPr="00115605" w14:paraId="7EDAD391" w14:textId="77777777" w:rsidTr="00115605">
              <w:trPr>
                <w:jc w:val="center"/>
              </w:trPr>
              <w:tc>
                <w:tcPr>
                  <w:tcW w:w="3055" w:type="dxa"/>
                  <w:tcBorders>
                    <w:top w:val="single" w:sz="4" w:space="0" w:color="auto"/>
                    <w:left w:val="single" w:sz="4" w:space="0" w:color="auto"/>
                    <w:bottom w:val="single" w:sz="4" w:space="0" w:color="auto"/>
                    <w:right w:val="single" w:sz="4" w:space="0" w:color="auto"/>
                  </w:tcBorders>
                  <w:hideMark/>
                </w:tcPr>
                <w:p w14:paraId="0A1AAA81"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rPr>
                  </w:pPr>
                  <w:r w:rsidRPr="00115605">
                    <w:rPr>
                      <w:rFonts w:ascii="Arial" w:eastAsia="Times New Roman" w:hAnsi="Arial" w:cs="Times New Roman"/>
                      <w:sz w:val="18"/>
                      <w:szCs w:val="20"/>
                    </w:rPr>
                    <w:t xml:space="preserve">FR1, ≤ 3 </w:t>
                  </w:r>
                  <w:proofErr w:type="spellStart"/>
                  <w:r w:rsidRPr="00115605">
                    <w:rPr>
                      <w:rFonts w:ascii="Arial" w:eastAsia="Times New Roman" w:hAnsi="Arial" w:cs="Times New Roman"/>
                      <w:sz w:val="18"/>
                      <w:szCs w:val="20"/>
                    </w:rPr>
                    <w:t>GHz</w:t>
                  </w:r>
                  <w:r w:rsidRPr="00115605">
                    <w:rPr>
                      <w:rFonts w:ascii="Arial" w:eastAsia="Times New Roman" w:hAnsi="Arial" w:cs="Times New Roman"/>
                      <w:sz w:val="18"/>
                      <w:szCs w:val="20"/>
                      <w:vertAlign w:val="superscript"/>
                      <w:lang w:eastAsia="zh-CN"/>
                    </w:rPr>
                    <w:t>Note</w:t>
                  </w:r>
                  <w:proofErr w:type="spellEnd"/>
                  <w:r w:rsidRPr="00115605">
                    <w:rPr>
                      <w:rFonts w:ascii="Arial" w:eastAsia="Times New Roman" w:hAnsi="Arial" w:cs="Times New Roman"/>
                      <w:sz w:val="18"/>
                      <w:szCs w:val="20"/>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3C0BC804"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rPr>
                  </w:pPr>
                  <w:r w:rsidRPr="00115605">
                    <w:rPr>
                      <w:rFonts w:ascii="Arial" w:eastAsia="Times New Roman" w:hAnsi="Arial" w:cs="Times New Roman"/>
                      <w:sz w:val="18"/>
                      <w:szCs w:val="20"/>
                    </w:rPr>
                    <w:t>4</w:t>
                  </w:r>
                </w:p>
              </w:tc>
              <w:tc>
                <w:tcPr>
                  <w:tcW w:w="3536" w:type="dxa"/>
                  <w:tcBorders>
                    <w:top w:val="single" w:sz="4" w:space="0" w:color="auto"/>
                    <w:left w:val="single" w:sz="4" w:space="0" w:color="auto"/>
                    <w:bottom w:val="single" w:sz="4" w:space="0" w:color="auto"/>
                    <w:right w:val="single" w:sz="4" w:space="0" w:color="auto"/>
                  </w:tcBorders>
                  <w:hideMark/>
                </w:tcPr>
                <w:p w14:paraId="2B05214A"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zh-CN"/>
                    </w:rPr>
                  </w:pPr>
                  <w:r w:rsidRPr="00115605">
                    <w:rPr>
                      <w:rFonts w:ascii="Arial" w:eastAsia="Times New Roman" w:hAnsi="Arial" w:cs="Times New Roman"/>
                      <w:sz w:val="18"/>
                      <w:szCs w:val="20"/>
                    </w:rPr>
                    <w:t>2</w:t>
                  </w:r>
                </w:p>
              </w:tc>
            </w:tr>
            <w:tr w:rsidR="00115605" w:rsidRPr="00115605" w14:paraId="17569FD9" w14:textId="77777777" w:rsidTr="00115605">
              <w:trPr>
                <w:jc w:val="center"/>
              </w:trPr>
              <w:tc>
                <w:tcPr>
                  <w:tcW w:w="3055" w:type="dxa"/>
                  <w:tcBorders>
                    <w:top w:val="single" w:sz="4" w:space="0" w:color="auto"/>
                    <w:left w:val="single" w:sz="4" w:space="0" w:color="auto"/>
                    <w:bottom w:val="single" w:sz="4" w:space="0" w:color="auto"/>
                    <w:right w:val="single" w:sz="4" w:space="0" w:color="auto"/>
                  </w:tcBorders>
                  <w:hideMark/>
                </w:tcPr>
                <w:p w14:paraId="2BF37104"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rPr>
                  </w:pPr>
                  <w:r w:rsidRPr="00115605">
                    <w:rPr>
                      <w:rFonts w:ascii="Arial" w:eastAsia="Times New Roman" w:hAnsi="Arial" w:cs="Times New Roman"/>
                      <w:sz w:val="18"/>
                      <w:szCs w:val="20"/>
                    </w:rPr>
                    <w:t xml:space="preserve">FR1, &gt; 3 </w:t>
                  </w:r>
                  <w:proofErr w:type="spellStart"/>
                  <w:r w:rsidRPr="00115605">
                    <w:rPr>
                      <w:rFonts w:ascii="Arial" w:eastAsia="Times New Roman" w:hAnsi="Arial" w:cs="Times New Roman"/>
                      <w:sz w:val="18"/>
                      <w:szCs w:val="20"/>
                    </w:rPr>
                    <w:t>GHz</w:t>
                  </w:r>
                  <w:r w:rsidRPr="00115605">
                    <w:rPr>
                      <w:rFonts w:ascii="Arial" w:eastAsia="Times New Roman" w:hAnsi="Arial" w:cs="Times New Roman"/>
                      <w:sz w:val="18"/>
                      <w:szCs w:val="20"/>
                      <w:vertAlign w:val="superscript"/>
                      <w:lang w:eastAsia="zh-CN"/>
                    </w:rPr>
                    <w:t>Note</w:t>
                  </w:r>
                  <w:proofErr w:type="spellEnd"/>
                  <w:r w:rsidRPr="00115605">
                    <w:rPr>
                      <w:rFonts w:ascii="Arial" w:eastAsia="Times New Roman" w:hAnsi="Arial" w:cs="Times New Roman"/>
                      <w:sz w:val="18"/>
                      <w:szCs w:val="20"/>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35436C5D"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rPr>
                  </w:pPr>
                  <w:r w:rsidRPr="00115605">
                    <w:rPr>
                      <w:rFonts w:ascii="Arial" w:eastAsia="Times New Roman" w:hAnsi="Arial" w:cs="Times New Roman"/>
                      <w:sz w:val="18"/>
                      <w:szCs w:val="20"/>
                    </w:rPr>
                    <w:t>8</w:t>
                  </w:r>
                </w:p>
              </w:tc>
              <w:tc>
                <w:tcPr>
                  <w:tcW w:w="3536" w:type="dxa"/>
                  <w:tcBorders>
                    <w:top w:val="single" w:sz="4" w:space="0" w:color="auto"/>
                    <w:left w:val="single" w:sz="4" w:space="0" w:color="auto"/>
                    <w:bottom w:val="single" w:sz="4" w:space="0" w:color="auto"/>
                    <w:right w:val="single" w:sz="4" w:space="0" w:color="auto"/>
                  </w:tcBorders>
                  <w:hideMark/>
                </w:tcPr>
                <w:p w14:paraId="76A0F151"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rPr>
                  </w:pPr>
                  <w:r w:rsidRPr="00115605">
                    <w:rPr>
                      <w:rFonts w:ascii="Arial" w:eastAsia="Times New Roman" w:hAnsi="Arial" w:cs="Times New Roman"/>
                      <w:sz w:val="18"/>
                      <w:szCs w:val="20"/>
                    </w:rPr>
                    <w:t>4</w:t>
                  </w:r>
                </w:p>
              </w:tc>
            </w:tr>
            <w:tr w:rsidR="00115605" w:rsidRPr="00115605" w14:paraId="4260E66E" w14:textId="77777777" w:rsidTr="00115605">
              <w:trPr>
                <w:jc w:val="center"/>
              </w:trPr>
              <w:tc>
                <w:tcPr>
                  <w:tcW w:w="3055" w:type="dxa"/>
                  <w:tcBorders>
                    <w:top w:val="single" w:sz="4" w:space="0" w:color="auto"/>
                    <w:left w:val="single" w:sz="4" w:space="0" w:color="auto"/>
                    <w:bottom w:val="single" w:sz="4" w:space="0" w:color="auto"/>
                    <w:right w:val="single" w:sz="4" w:space="0" w:color="auto"/>
                  </w:tcBorders>
                  <w:hideMark/>
                </w:tcPr>
                <w:p w14:paraId="713EFF34"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rPr>
                  </w:pPr>
                  <w:r w:rsidRPr="00115605">
                    <w:rPr>
                      <w:rFonts w:ascii="Arial" w:eastAsia="Times New Roman" w:hAnsi="Arial" w:cs="Times New Roman"/>
                      <w:sz w:val="18"/>
                      <w:szCs w:val="20"/>
                      <w:lang w:eastAsia="en-GB"/>
                    </w:rPr>
                    <w:t>FR2-NTN</w:t>
                  </w:r>
                  <w:r w:rsidRPr="00115605">
                    <w:rPr>
                      <w:rFonts w:ascii="Arial" w:eastAsia="Times New Roman" w:hAnsi="Arial" w:cs="Times New Roman"/>
                      <w:sz w:val="18"/>
                      <w:szCs w:val="20"/>
                      <w:vertAlign w:val="superscript"/>
                      <w:lang w:eastAsia="en-GB"/>
                    </w:rPr>
                    <w:t>Note 2</w:t>
                  </w:r>
                </w:p>
              </w:tc>
              <w:tc>
                <w:tcPr>
                  <w:tcW w:w="3264" w:type="dxa"/>
                  <w:tcBorders>
                    <w:top w:val="single" w:sz="4" w:space="0" w:color="auto"/>
                    <w:left w:val="single" w:sz="4" w:space="0" w:color="auto"/>
                    <w:bottom w:val="single" w:sz="4" w:space="0" w:color="auto"/>
                    <w:right w:val="single" w:sz="4" w:space="0" w:color="auto"/>
                  </w:tcBorders>
                  <w:vAlign w:val="center"/>
                  <w:hideMark/>
                </w:tcPr>
                <w:p w14:paraId="18D150A6"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rPr>
                  </w:pPr>
                  <w:r w:rsidRPr="00115605">
                    <w:rPr>
                      <w:rFonts w:ascii="Arial" w:eastAsia="Times New Roman" w:hAnsi="Arial" w:cs="Times New Roman"/>
                      <w:sz w:val="18"/>
                      <w:szCs w:val="20"/>
                    </w:rPr>
                    <w:t>64</w:t>
                  </w:r>
                </w:p>
              </w:tc>
              <w:tc>
                <w:tcPr>
                  <w:tcW w:w="3536" w:type="dxa"/>
                  <w:tcBorders>
                    <w:top w:val="single" w:sz="4" w:space="0" w:color="auto"/>
                    <w:left w:val="single" w:sz="4" w:space="0" w:color="auto"/>
                    <w:bottom w:val="single" w:sz="4" w:space="0" w:color="auto"/>
                    <w:right w:val="single" w:sz="4" w:space="0" w:color="auto"/>
                  </w:tcBorders>
                  <w:hideMark/>
                </w:tcPr>
                <w:p w14:paraId="310FB35E" w14:textId="77777777" w:rsidR="00115605" w:rsidRPr="00115605" w:rsidRDefault="00115605" w:rsidP="00115605">
                  <w:pPr>
                    <w:keepNext/>
                    <w:keepLines/>
                    <w:overflowPunct w:val="0"/>
                    <w:autoSpaceDE w:val="0"/>
                    <w:autoSpaceDN w:val="0"/>
                    <w:adjustRightInd w:val="0"/>
                    <w:spacing w:after="0" w:line="240" w:lineRule="auto"/>
                    <w:jc w:val="center"/>
                    <w:rPr>
                      <w:rFonts w:ascii="Arial" w:eastAsia="Times New Roman" w:hAnsi="Arial" w:cs="Times New Roman"/>
                      <w:sz w:val="18"/>
                      <w:szCs w:val="20"/>
                    </w:rPr>
                  </w:pPr>
                  <w:r w:rsidRPr="00115605">
                    <w:rPr>
                      <w:rFonts w:ascii="Arial" w:eastAsia="Times New Roman" w:hAnsi="Arial" w:cs="Times New Roman"/>
                      <w:sz w:val="18"/>
                      <w:szCs w:val="20"/>
                    </w:rPr>
                    <w:t>8</w:t>
                  </w:r>
                </w:p>
              </w:tc>
            </w:tr>
            <w:tr w:rsidR="00115605" w:rsidRPr="00115605" w14:paraId="78AD79BA" w14:textId="77777777" w:rsidTr="00115605">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A74D62A" w14:textId="77777777" w:rsidR="00115605" w:rsidRPr="00115605" w:rsidRDefault="00115605" w:rsidP="00115605">
                  <w:pPr>
                    <w:keepNext/>
                    <w:keepLines/>
                    <w:overflowPunct w:val="0"/>
                    <w:autoSpaceDE w:val="0"/>
                    <w:autoSpaceDN w:val="0"/>
                    <w:adjustRightInd w:val="0"/>
                    <w:spacing w:after="0" w:line="240" w:lineRule="auto"/>
                    <w:ind w:left="851" w:hanging="851"/>
                    <w:rPr>
                      <w:rFonts w:ascii="Arial" w:eastAsia="Times New Roman" w:hAnsi="Arial" w:cs="Times New Roman"/>
                      <w:sz w:val="18"/>
                      <w:szCs w:val="20"/>
                      <w:lang w:eastAsia="zh-CN"/>
                    </w:rPr>
                  </w:pPr>
                  <w:r w:rsidRPr="00115605">
                    <w:rPr>
                      <w:rFonts w:ascii="Arial" w:eastAsia="Times New Roman" w:hAnsi="Arial" w:cs="Times New Roman"/>
                      <w:sz w:val="18"/>
                      <w:szCs w:val="20"/>
                      <w:lang w:eastAsia="zh-CN"/>
                    </w:rPr>
                    <w:t>NOTE:</w:t>
                  </w:r>
                  <w:r w:rsidRPr="00115605">
                    <w:rPr>
                      <w:rFonts w:ascii="Arial" w:eastAsia="Times New Roman" w:hAnsi="Arial" w:cs="Times New Roman"/>
                      <w:sz w:val="24"/>
                      <w:szCs w:val="20"/>
                    </w:rPr>
                    <w:tab/>
                  </w:r>
                  <w:r w:rsidRPr="00115605">
                    <w:rPr>
                      <w:rFonts w:ascii="Arial" w:eastAsia="Times New Roman" w:hAnsi="Arial" w:cs="Times New Roman"/>
                      <w:sz w:val="18"/>
                      <w:szCs w:val="20"/>
                      <w:lang w:eastAsia="zh-CN"/>
                    </w:rPr>
                    <w:t>For unpaired spectrum operation with Case C - 30 kHz SCS, 3 GHz is replaced by 1.88 GHz, as specified in clause 4.1 in TS 38.213 [3].</w:t>
                  </w:r>
                </w:p>
                <w:p w14:paraId="0F48D8AF" w14:textId="77777777" w:rsidR="00115605" w:rsidRPr="00115605" w:rsidRDefault="00115605" w:rsidP="00115605">
                  <w:pPr>
                    <w:keepNext/>
                    <w:keepLines/>
                    <w:overflowPunct w:val="0"/>
                    <w:autoSpaceDE w:val="0"/>
                    <w:autoSpaceDN w:val="0"/>
                    <w:adjustRightInd w:val="0"/>
                    <w:spacing w:after="0" w:line="240" w:lineRule="auto"/>
                    <w:ind w:left="851" w:hanging="851"/>
                    <w:rPr>
                      <w:rFonts w:ascii="Arial" w:eastAsia="Times New Roman" w:hAnsi="Arial" w:cs="Times New Roman"/>
                      <w:sz w:val="18"/>
                      <w:szCs w:val="20"/>
                      <w:lang w:eastAsia="zh-CN"/>
                    </w:rPr>
                  </w:pPr>
                  <w:r w:rsidRPr="00115605">
                    <w:rPr>
                      <w:rFonts w:ascii="Arial" w:eastAsia="Times New Roman" w:hAnsi="Arial" w:cs="Times New Roman"/>
                      <w:sz w:val="18"/>
                      <w:szCs w:val="20"/>
                      <w:lang w:eastAsia="zh-CN"/>
                    </w:rPr>
                    <w:t>NOTE 2: NTN bands within this frequency range are regarded as a FR2-1 band when references from other specifications unless otherwise stated.</w:t>
                  </w:r>
                </w:p>
              </w:tc>
            </w:tr>
          </w:tbl>
          <w:p w14:paraId="2F6AA5BA" w14:textId="77777777" w:rsidR="00115605" w:rsidRPr="00CA7877" w:rsidRDefault="00115605" w:rsidP="00115605">
            <w:pPr>
              <w:rPr>
                <w:lang w:val="en-US"/>
              </w:rPr>
            </w:pPr>
          </w:p>
        </w:tc>
      </w:tr>
    </w:tbl>
    <w:p w14:paraId="109AECAE" w14:textId="77777777" w:rsidR="00115605" w:rsidRPr="00CA7877" w:rsidRDefault="00115605" w:rsidP="00115605"/>
    <w:p w14:paraId="0F0F41CC" w14:textId="0960E3F9" w:rsidR="00B11790" w:rsidRPr="00CA7877" w:rsidRDefault="00B11790" w:rsidP="00B11790">
      <w:pPr>
        <w:pStyle w:val="RAN4H2"/>
      </w:pPr>
      <w:r w:rsidRPr="00CA7877">
        <w:t>Measurement Requirements</w:t>
      </w:r>
    </w:p>
    <w:p w14:paraId="2A31F79A" w14:textId="3AD8ED2E" w:rsidR="00B11790" w:rsidRPr="00CA7877" w:rsidRDefault="00B11790" w:rsidP="00B11790">
      <w:proofErr w:type="gramStart"/>
      <w:r w:rsidRPr="00CA7877">
        <w:t>Tables  9.1C.2</w:t>
      </w:r>
      <w:proofErr w:type="gramEnd"/>
      <w:r w:rsidRPr="00CA7877">
        <w:t xml:space="preserve">-2 and 9.1C.2-2a provide the total number of interrupted slots configured with only one single carrier. The values are different from FR1 to FR2-NTN, due to the difference in the MG patterns. As FR1-NTN VSAT UE is operating within a FR1-NTN band, it should use FR1 numerology. </w:t>
      </w:r>
    </w:p>
    <w:p w14:paraId="0B4C0ABD" w14:textId="1B4D85FE" w:rsidR="00B11790" w:rsidRPr="00CA7877" w:rsidRDefault="00B11790" w:rsidP="00B11790">
      <w:pPr>
        <w:pStyle w:val="RAN4proposal"/>
      </w:pPr>
      <w:bookmarkStart w:id="11" w:name="_Toc194070605"/>
      <w:r w:rsidRPr="00CA7877">
        <w:t>For MGs and general requirements, VSAT UEs operating in FR1-NTN shall use FR1-NTN requirements as baseline.</w:t>
      </w:r>
      <w:bookmarkEnd w:id="11"/>
      <w:r w:rsidRPr="00CA7877">
        <w:t xml:space="preserve"> </w:t>
      </w:r>
    </w:p>
    <w:p w14:paraId="6B55DE86" w14:textId="1EBDA441" w:rsidR="00B11790" w:rsidRPr="00CA7877" w:rsidRDefault="00B11790" w:rsidP="00B11790">
      <w:r w:rsidRPr="00CA7877">
        <w:t xml:space="preserve">Currently, there are no intra-frequency and inter-frequency requirements for VSAT UEs in FR2-NTN. The reason is the same as explained in clause 2.2 of the present paper. </w:t>
      </w:r>
      <w:r w:rsidR="00CA7877" w:rsidRPr="00CA7877">
        <w:t>Once again, we think measurement requirements should be created in Rel-19 for VSAT UEs, and they should be applicable to both VSAT UEs operating in FR1-NTN and in FR2-NTN.</w:t>
      </w:r>
    </w:p>
    <w:p w14:paraId="285E9727" w14:textId="77777777" w:rsidR="00893D2E" w:rsidRPr="008F786B" w:rsidRDefault="00893D2E">
      <w:pPr>
        <w:rPr>
          <w:rFonts w:ascii="Arial" w:eastAsia="SimSun" w:hAnsi="Arial" w:cs="Times New Roman"/>
          <w:sz w:val="36"/>
          <w:szCs w:val="20"/>
        </w:rPr>
      </w:pPr>
      <w:bookmarkStart w:id="12" w:name="_Toc116995848"/>
      <w:r w:rsidRPr="008F786B">
        <w:br w:type="page"/>
      </w:r>
    </w:p>
    <w:p w14:paraId="4FD970AD" w14:textId="77777777" w:rsidR="00CD7492" w:rsidRPr="008F786B" w:rsidRDefault="00CD7492" w:rsidP="00A37002">
      <w:pPr>
        <w:pStyle w:val="RAN4H1"/>
      </w:pPr>
      <w:r w:rsidRPr="008F786B">
        <w:lastRenderedPageBreak/>
        <w:t>Conclusion</w:t>
      </w:r>
      <w:bookmarkEnd w:id="12"/>
    </w:p>
    <w:p w14:paraId="0AEED325" w14:textId="75E310A7" w:rsidR="00381F95" w:rsidRPr="008F786B" w:rsidRDefault="00CA7877" w:rsidP="00936159">
      <w:r>
        <w:t xml:space="preserve">In this paper we discussed the implementation </w:t>
      </w:r>
      <w:proofErr w:type="gramStart"/>
      <w:r>
        <w:t>of  requirements</w:t>
      </w:r>
      <w:proofErr w:type="gramEnd"/>
      <w:r>
        <w:t xml:space="preserve"> for VSAT type UEs operating in FR1-NTN and in FR2-NTN. The conclusion is made through the following set of proposals</w:t>
      </w:r>
      <w:proofErr w:type="gramStart"/>
      <w:r>
        <w:t xml:space="preserve">. </w:t>
      </w:r>
      <w:r w:rsidR="005B4801" w:rsidRPr="008F786B">
        <w:t>:</w:t>
      </w:r>
      <w:proofErr w:type="gramEnd"/>
    </w:p>
    <w:p w14:paraId="4DEAF217" w14:textId="77777777" w:rsidR="00C26199"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0599" w:history="1">
        <w:r w:rsidR="00C26199" w:rsidRPr="00E7484A">
          <w:rPr>
            <w:rStyle w:val="Hyperlink"/>
            <w:noProof/>
          </w:rPr>
          <w:t>Proposal 1: In TS 38.133, RAN4 to revisit all FR1-NTN requirements and mention explicitly which tables are also applicable for “VSAT UEs in FR1-NTN”.</w:t>
        </w:r>
      </w:hyperlink>
    </w:p>
    <w:p w14:paraId="4956390B" w14:textId="77777777" w:rsidR="00C26199" w:rsidRDefault="00C26199">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194070600" w:history="1">
        <w:r w:rsidRPr="00E7484A">
          <w:rPr>
            <w:rStyle w:val="Hyperlink"/>
            <w:b/>
            <w:noProof/>
          </w:rPr>
          <w:t>Observation 1:</w:t>
        </w:r>
        <w:r w:rsidRPr="00E7484A">
          <w:rPr>
            <w:rStyle w:val="Hyperlink"/>
            <w:noProof/>
          </w:rPr>
          <w:t xml:space="preserve"> The mobility requirements for VSAT UEs operating in FR1-NTN shall use the requirements from VSAT UEs in FR2-NTN as baseline.</w:t>
        </w:r>
      </w:hyperlink>
    </w:p>
    <w:p w14:paraId="0BD728ED" w14:textId="77777777" w:rsidR="00C26199" w:rsidRDefault="00C2619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0601" w:history="1">
        <w:r w:rsidRPr="00E7484A">
          <w:rPr>
            <w:rStyle w:val="Hyperlink"/>
            <w:noProof/>
          </w:rPr>
          <w:t>Proposal 2: RAN4 to create inter-satellite cell reselection requirements for VSAT UEs in Rel-19</w:t>
        </w:r>
      </w:hyperlink>
    </w:p>
    <w:p w14:paraId="5849BBFA" w14:textId="77777777" w:rsidR="00C26199" w:rsidRDefault="00C2619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0602" w:history="1">
        <w:r w:rsidRPr="00E7484A">
          <w:rPr>
            <w:rStyle w:val="Hyperlink"/>
            <w:noProof/>
          </w:rPr>
          <w:t>Proposal 3: VSAT UEs operating in FR1-NTN do not support TN-NTN mobility, inter-RAT mobility or satellite switching with re-sync</w:t>
        </w:r>
      </w:hyperlink>
    </w:p>
    <w:p w14:paraId="1FBD4249" w14:textId="77777777" w:rsidR="00C26199" w:rsidRDefault="00C2619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0603" w:history="1">
        <w:r w:rsidRPr="00E7484A">
          <w:rPr>
            <w:rStyle w:val="Hyperlink"/>
            <w:noProof/>
          </w:rPr>
          <w:t>Proposal 4: Create a new subclause for HO and a new subclause for CHO, for VSAT UEs performing HO from FR1-NTN to FR1-NTN. Baseline is FR2-NTN clause.</w:t>
        </w:r>
      </w:hyperlink>
    </w:p>
    <w:p w14:paraId="3AA4A38A" w14:textId="77777777" w:rsidR="00C26199" w:rsidRDefault="00C2619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0604" w:history="1">
        <w:r w:rsidRPr="00E7484A">
          <w:rPr>
            <w:rStyle w:val="Hyperlink"/>
            <w:noProof/>
          </w:rPr>
          <w:t>Proposal 5: Confirm the assumption that LMax is equal to 8 for FR1-NTN.</w:t>
        </w:r>
      </w:hyperlink>
    </w:p>
    <w:p w14:paraId="5922C7BD" w14:textId="77777777" w:rsidR="00C26199" w:rsidRDefault="00C2619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0605" w:history="1">
        <w:r w:rsidRPr="00E7484A">
          <w:rPr>
            <w:rStyle w:val="Hyperlink"/>
            <w:noProof/>
          </w:rPr>
          <w:t>Proposal 6: For MGs and general requirements, VSAT UEs operating in FR1-NTN shall use FR1-NTN requirements as baseline.</w:t>
        </w:r>
      </w:hyperlink>
    </w:p>
    <w:p w14:paraId="4D811321" w14:textId="26557900" w:rsidR="00847264" w:rsidRPr="008F786B" w:rsidRDefault="00A4355E" w:rsidP="008C39F7">
      <w:r w:rsidRPr="008F786B">
        <w:fldChar w:fldCharType="end"/>
      </w:r>
      <w:bookmarkStart w:id="13" w:name="_Toc116995849"/>
    </w:p>
    <w:p w14:paraId="6BC7C4A8" w14:textId="77777777" w:rsidR="003B659E" w:rsidRPr="008F786B" w:rsidRDefault="003B659E" w:rsidP="0060543D">
      <w:pPr>
        <w:pStyle w:val="RAN4H1"/>
        <w:numPr>
          <w:ilvl w:val="0"/>
          <w:numId w:val="0"/>
        </w:numPr>
        <w:ind w:left="360" w:hanging="360"/>
      </w:pPr>
      <w:r w:rsidRPr="008F786B">
        <w:t>References</w:t>
      </w:r>
      <w:bookmarkEnd w:id="13"/>
    </w:p>
    <w:p w14:paraId="69D061E8" w14:textId="7A71CA67" w:rsidR="00E82B94" w:rsidRPr="008F786B" w:rsidRDefault="00322391" w:rsidP="00D66188">
      <w:pPr>
        <w:pStyle w:val="ListParagraph"/>
        <w:numPr>
          <w:ilvl w:val="0"/>
          <w:numId w:val="21"/>
        </w:numPr>
        <w:ind w:right="-22"/>
      </w:pPr>
      <w:bookmarkStart w:id="14" w:name="_Ref194052563"/>
      <w:r w:rsidRPr="00322391">
        <w:t>R4-2500529</w:t>
      </w:r>
      <w:r>
        <w:t xml:space="preserve">, </w:t>
      </w:r>
      <w:r w:rsidRPr="00322391">
        <w:t xml:space="preserve">WF on RRM requirements for </w:t>
      </w:r>
      <w:proofErr w:type="spellStart"/>
      <w:r w:rsidRPr="00322391">
        <w:t>NR_NTN_Ku_bands</w:t>
      </w:r>
      <w:proofErr w:type="spellEnd"/>
      <w:r>
        <w:t xml:space="preserve">, Apple, </w:t>
      </w:r>
      <w:r w:rsidRPr="00322391">
        <w:t>3GPP TSG-RAN WG4 Meeting #114</w:t>
      </w:r>
      <w:bookmarkEnd w:id="14"/>
      <w:r w:rsidRPr="00322391">
        <w:tab/>
      </w:r>
    </w:p>
    <w:p w14:paraId="4AFAE1C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30D27" w14:textId="77777777" w:rsidR="00322391" w:rsidRDefault="00322391" w:rsidP="00001C9B">
      <w:pPr>
        <w:spacing w:after="0" w:line="240" w:lineRule="auto"/>
      </w:pPr>
      <w:r>
        <w:separator/>
      </w:r>
    </w:p>
  </w:endnote>
  <w:endnote w:type="continuationSeparator" w:id="0">
    <w:p w14:paraId="01027E1C" w14:textId="77777777" w:rsidR="00322391" w:rsidRDefault="00322391" w:rsidP="00001C9B">
      <w:pPr>
        <w:spacing w:after="0" w:line="240" w:lineRule="auto"/>
      </w:pPr>
      <w:r>
        <w:continuationSeparator/>
      </w:r>
    </w:p>
  </w:endnote>
  <w:endnote w:type="continuationNotice" w:id="1">
    <w:p w14:paraId="54C69842" w14:textId="77777777" w:rsidR="00FE4E5C" w:rsidRDefault="00FE4E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37A47" w14:textId="77777777" w:rsidR="00322391" w:rsidRDefault="00322391" w:rsidP="00001C9B">
      <w:pPr>
        <w:spacing w:after="0" w:line="240" w:lineRule="auto"/>
      </w:pPr>
      <w:r>
        <w:separator/>
      </w:r>
    </w:p>
  </w:footnote>
  <w:footnote w:type="continuationSeparator" w:id="0">
    <w:p w14:paraId="33858075" w14:textId="77777777" w:rsidR="00322391" w:rsidRDefault="00322391" w:rsidP="00001C9B">
      <w:pPr>
        <w:spacing w:after="0" w:line="240" w:lineRule="auto"/>
      </w:pPr>
      <w:r>
        <w:continuationSeparator/>
      </w:r>
    </w:p>
  </w:footnote>
  <w:footnote w:type="continuationNotice" w:id="1">
    <w:p w14:paraId="60CB6141" w14:textId="77777777" w:rsidR="00FE4E5C" w:rsidRDefault="00FE4E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6"/>
  </w:num>
  <w:num w:numId="28" w16cid:durableId="2095668156">
    <w:abstractNumId w:val="3"/>
  </w:num>
  <w:num w:numId="29" w16cid:durableId="14154757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22391"/>
    <w:rsid w:val="00001C9B"/>
    <w:rsid w:val="000040DC"/>
    <w:rsid w:val="00011784"/>
    <w:rsid w:val="000151EF"/>
    <w:rsid w:val="000211D0"/>
    <w:rsid w:val="000239F5"/>
    <w:rsid w:val="00041922"/>
    <w:rsid w:val="00061256"/>
    <w:rsid w:val="00072CCA"/>
    <w:rsid w:val="0007385A"/>
    <w:rsid w:val="0007601C"/>
    <w:rsid w:val="00081544"/>
    <w:rsid w:val="0008612A"/>
    <w:rsid w:val="00090E18"/>
    <w:rsid w:val="000A10BC"/>
    <w:rsid w:val="000A4EF4"/>
    <w:rsid w:val="000A7E1A"/>
    <w:rsid w:val="000A7F53"/>
    <w:rsid w:val="000B0056"/>
    <w:rsid w:val="000C3C7B"/>
    <w:rsid w:val="000C67F5"/>
    <w:rsid w:val="000D0F93"/>
    <w:rsid w:val="001060E8"/>
    <w:rsid w:val="00106416"/>
    <w:rsid w:val="00110481"/>
    <w:rsid w:val="001127C9"/>
    <w:rsid w:val="00114498"/>
    <w:rsid w:val="00115605"/>
    <w:rsid w:val="00115B88"/>
    <w:rsid w:val="00132F6A"/>
    <w:rsid w:val="00133913"/>
    <w:rsid w:val="00140221"/>
    <w:rsid w:val="001441C2"/>
    <w:rsid w:val="00161913"/>
    <w:rsid w:val="001642FC"/>
    <w:rsid w:val="0016496B"/>
    <w:rsid w:val="001743E2"/>
    <w:rsid w:val="001745F8"/>
    <w:rsid w:val="001838CF"/>
    <w:rsid w:val="001868EE"/>
    <w:rsid w:val="001A3BA4"/>
    <w:rsid w:val="001A6D1F"/>
    <w:rsid w:val="001B1EA8"/>
    <w:rsid w:val="001E30F6"/>
    <w:rsid w:val="001E7369"/>
    <w:rsid w:val="00216379"/>
    <w:rsid w:val="00217EE5"/>
    <w:rsid w:val="0023559D"/>
    <w:rsid w:val="00235F5C"/>
    <w:rsid w:val="0024235F"/>
    <w:rsid w:val="002433E2"/>
    <w:rsid w:val="00257FA3"/>
    <w:rsid w:val="002742A5"/>
    <w:rsid w:val="00277B56"/>
    <w:rsid w:val="00282A74"/>
    <w:rsid w:val="002849D4"/>
    <w:rsid w:val="00295E70"/>
    <w:rsid w:val="002A19F5"/>
    <w:rsid w:val="002B4922"/>
    <w:rsid w:val="002B69F3"/>
    <w:rsid w:val="002C22C3"/>
    <w:rsid w:val="002C2D19"/>
    <w:rsid w:val="002D10FA"/>
    <w:rsid w:val="002D4C55"/>
    <w:rsid w:val="002E6DED"/>
    <w:rsid w:val="00300956"/>
    <w:rsid w:val="00307EE8"/>
    <w:rsid w:val="00317187"/>
    <w:rsid w:val="00322391"/>
    <w:rsid w:val="0032499A"/>
    <w:rsid w:val="003341F7"/>
    <w:rsid w:val="00347FEC"/>
    <w:rsid w:val="003509DF"/>
    <w:rsid w:val="00356F45"/>
    <w:rsid w:val="00366B74"/>
    <w:rsid w:val="003774C0"/>
    <w:rsid w:val="00381F95"/>
    <w:rsid w:val="00382F10"/>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D2B38"/>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17849"/>
    <w:rsid w:val="00632D29"/>
    <w:rsid w:val="0064171D"/>
    <w:rsid w:val="00664950"/>
    <w:rsid w:val="00683220"/>
    <w:rsid w:val="0068781B"/>
    <w:rsid w:val="00687FA0"/>
    <w:rsid w:val="006A3C11"/>
    <w:rsid w:val="006B7010"/>
    <w:rsid w:val="006C3095"/>
    <w:rsid w:val="006E1151"/>
    <w:rsid w:val="006E398E"/>
    <w:rsid w:val="006E6311"/>
    <w:rsid w:val="00701D91"/>
    <w:rsid w:val="007145FF"/>
    <w:rsid w:val="00715B2A"/>
    <w:rsid w:val="00733B21"/>
    <w:rsid w:val="007376A9"/>
    <w:rsid w:val="007450F1"/>
    <w:rsid w:val="007502FA"/>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1FB6"/>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92BCD"/>
    <w:rsid w:val="00A93B2A"/>
    <w:rsid w:val="00A97CCB"/>
    <w:rsid w:val="00AA1B0E"/>
    <w:rsid w:val="00AA47B6"/>
    <w:rsid w:val="00AC06C0"/>
    <w:rsid w:val="00AC163B"/>
    <w:rsid w:val="00AC5CA7"/>
    <w:rsid w:val="00AC6058"/>
    <w:rsid w:val="00AE2BA5"/>
    <w:rsid w:val="00AE56B1"/>
    <w:rsid w:val="00AE6D09"/>
    <w:rsid w:val="00AF7A7C"/>
    <w:rsid w:val="00B02070"/>
    <w:rsid w:val="00B11790"/>
    <w:rsid w:val="00B26A8A"/>
    <w:rsid w:val="00B408B6"/>
    <w:rsid w:val="00B542DA"/>
    <w:rsid w:val="00B66B7D"/>
    <w:rsid w:val="00B73862"/>
    <w:rsid w:val="00B73F43"/>
    <w:rsid w:val="00B75BBF"/>
    <w:rsid w:val="00B81CDC"/>
    <w:rsid w:val="00BA308C"/>
    <w:rsid w:val="00BA6B66"/>
    <w:rsid w:val="00BA6E48"/>
    <w:rsid w:val="00BE0AF6"/>
    <w:rsid w:val="00BE1F03"/>
    <w:rsid w:val="00BE58A7"/>
    <w:rsid w:val="00BF2218"/>
    <w:rsid w:val="00C0426B"/>
    <w:rsid w:val="00C045DF"/>
    <w:rsid w:val="00C26199"/>
    <w:rsid w:val="00C26D43"/>
    <w:rsid w:val="00C35173"/>
    <w:rsid w:val="00C43F4A"/>
    <w:rsid w:val="00C46548"/>
    <w:rsid w:val="00C574D5"/>
    <w:rsid w:val="00C73F32"/>
    <w:rsid w:val="00C851E4"/>
    <w:rsid w:val="00C87462"/>
    <w:rsid w:val="00CA180C"/>
    <w:rsid w:val="00CA7877"/>
    <w:rsid w:val="00CB0A9A"/>
    <w:rsid w:val="00CB22B2"/>
    <w:rsid w:val="00CC3EE2"/>
    <w:rsid w:val="00CD6C0E"/>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2311"/>
    <w:rsid w:val="00EC7BC3"/>
    <w:rsid w:val="00ED7600"/>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E4E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20D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218">
      <w:bodyDiv w:val="1"/>
      <w:marLeft w:val="0"/>
      <w:marRight w:val="0"/>
      <w:marTop w:val="0"/>
      <w:marBottom w:val="0"/>
      <w:divBdr>
        <w:top w:val="none" w:sz="0" w:space="0" w:color="auto"/>
        <w:left w:val="none" w:sz="0" w:space="0" w:color="auto"/>
        <w:bottom w:val="none" w:sz="0" w:space="0" w:color="auto"/>
        <w:right w:val="none" w:sz="0" w:space="0" w:color="auto"/>
      </w:divBdr>
    </w:div>
    <w:div w:id="170221943">
      <w:bodyDiv w:val="1"/>
      <w:marLeft w:val="0"/>
      <w:marRight w:val="0"/>
      <w:marTop w:val="0"/>
      <w:marBottom w:val="0"/>
      <w:divBdr>
        <w:top w:val="none" w:sz="0" w:space="0" w:color="auto"/>
        <w:left w:val="none" w:sz="0" w:space="0" w:color="auto"/>
        <w:bottom w:val="none" w:sz="0" w:space="0" w:color="auto"/>
        <w:right w:val="none" w:sz="0" w:space="0" w:color="auto"/>
      </w:divBdr>
    </w:div>
    <w:div w:id="272052285">
      <w:bodyDiv w:val="1"/>
      <w:marLeft w:val="0"/>
      <w:marRight w:val="0"/>
      <w:marTop w:val="0"/>
      <w:marBottom w:val="0"/>
      <w:divBdr>
        <w:top w:val="none" w:sz="0" w:space="0" w:color="auto"/>
        <w:left w:val="none" w:sz="0" w:space="0" w:color="auto"/>
        <w:bottom w:val="none" w:sz="0" w:space="0" w:color="auto"/>
        <w:right w:val="none" w:sz="0" w:space="0" w:color="auto"/>
      </w:divBdr>
    </w:div>
    <w:div w:id="564880270">
      <w:bodyDiv w:val="1"/>
      <w:marLeft w:val="0"/>
      <w:marRight w:val="0"/>
      <w:marTop w:val="0"/>
      <w:marBottom w:val="0"/>
      <w:divBdr>
        <w:top w:val="none" w:sz="0" w:space="0" w:color="auto"/>
        <w:left w:val="none" w:sz="0" w:space="0" w:color="auto"/>
        <w:bottom w:val="none" w:sz="0" w:space="0" w:color="auto"/>
        <w:right w:val="none" w:sz="0" w:space="0" w:color="auto"/>
      </w:divBdr>
    </w:div>
    <w:div w:id="751508843">
      <w:bodyDiv w:val="1"/>
      <w:marLeft w:val="0"/>
      <w:marRight w:val="0"/>
      <w:marTop w:val="0"/>
      <w:marBottom w:val="0"/>
      <w:divBdr>
        <w:top w:val="none" w:sz="0" w:space="0" w:color="auto"/>
        <w:left w:val="none" w:sz="0" w:space="0" w:color="auto"/>
        <w:bottom w:val="none" w:sz="0" w:space="0" w:color="auto"/>
        <w:right w:val="none" w:sz="0" w:space="0" w:color="auto"/>
      </w:divBdr>
    </w:div>
    <w:div w:id="884561726">
      <w:bodyDiv w:val="1"/>
      <w:marLeft w:val="0"/>
      <w:marRight w:val="0"/>
      <w:marTop w:val="0"/>
      <w:marBottom w:val="0"/>
      <w:divBdr>
        <w:top w:val="none" w:sz="0" w:space="0" w:color="auto"/>
        <w:left w:val="none" w:sz="0" w:space="0" w:color="auto"/>
        <w:bottom w:val="none" w:sz="0" w:space="0" w:color="auto"/>
        <w:right w:val="none" w:sz="0" w:space="0" w:color="auto"/>
      </w:divBdr>
    </w:div>
    <w:div w:id="1654485672">
      <w:bodyDiv w:val="1"/>
      <w:marLeft w:val="0"/>
      <w:marRight w:val="0"/>
      <w:marTop w:val="0"/>
      <w:marBottom w:val="0"/>
      <w:divBdr>
        <w:top w:val="none" w:sz="0" w:space="0" w:color="auto"/>
        <w:left w:val="none" w:sz="0" w:space="0" w:color="auto"/>
        <w:bottom w:val="none" w:sz="0" w:space="0" w:color="auto"/>
        <w:right w:val="none" w:sz="0" w:space="0" w:color="auto"/>
      </w:divBdr>
    </w:div>
    <w:div w:id="1770731075">
      <w:bodyDiv w:val="1"/>
      <w:marLeft w:val="0"/>
      <w:marRight w:val="0"/>
      <w:marTop w:val="0"/>
      <w:marBottom w:val="0"/>
      <w:divBdr>
        <w:top w:val="none" w:sz="0" w:space="0" w:color="auto"/>
        <w:left w:val="none" w:sz="0" w:space="0" w:color="auto"/>
        <w:bottom w:val="none" w:sz="0" w:space="0" w:color="auto"/>
        <w:right w:val="none" w:sz="0" w:space="0" w:color="auto"/>
      </w:divBdr>
    </w:div>
    <w:div w:id="20818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2025-03-28T16:03:00Z</dcterms:created>
  <dcterms:modified xsi:type="dcterms:W3CDTF">2025-03-28T16:08:00Z</dcterms:modified>
</cp:coreProperties>
</file>